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1100" w:lineRule="exact"/>
        <w:jc w:val="center"/>
        <w:rPr>
          <w:rFonts w:ascii="黑体" w:hAnsi="黑体" w:eastAsia="黑体" w:cs="宋体"/>
          <w:kern w:val="0"/>
          <w:sz w:val="32"/>
          <w:szCs w:val="24"/>
        </w:rPr>
      </w:pPr>
      <w:r>
        <w:rPr>
          <w:rFonts w:hint="eastAsia" w:ascii="黑体" w:hAnsi="黑体" w:eastAsia="黑体" w:cs="宋体"/>
          <w:kern w:val="0"/>
          <w:sz w:val="32"/>
          <w:szCs w:val="24"/>
        </w:rPr>
        <w:t>202</w:t>
      </w:r>
      <w:r>
        <w:rPr>
          <w:rFonts w:hint="eastAsia" w:ascii="黑体" w:hAnsi="黑体" w:eastAsia="黑体" w:cs="宋体"/>
          <w:kern w:val="0"/>
          <w:sz w:val="32"/>
          <w:szCs w:val="24"/>
          <w:lang w:val="en-US" w:eastAsia="zh-CN"/>
        </w:rPr>
        <w:t>1</w:t>
      </w:r>
      <w:r>
        <w:rPr>
          <w:rFonts w:hint="eastAsia" w:ascii="黑体" w:hAnsi="黑体" w:eastAsia="黑体" w:cs="宋体"/>
          <w:kern w:val="0"/>
          <w:sz w:val="32"/>
          <w:szCs w:val="24"/>
        </w:rPr>
        <w:t>年度社会责任报告</w:t>
      </w:r>
    </w:p>
    <w:p>
      <w:pPr>
        <w:widowControl/>
        <w:adjustRightInd w:val="0"/>
        <w:spacing w:line="500" w:lineRule="exact"/>
        <w:jc w:val="left"/>
        <w:rPr>
          <w:rFonts w:ascii="仿宋_GB2312" w:hAnsi="华文中宋" w:eastAsia="仿宋_GB2312" w:cs="宋体"/>
          <w:kern w:val="0"/>
          <w:sz w:val="24"/>
          <w:szCs w:val="24"/>
        </w:rPr>
      </w:pPr>
    </w:p>
    <w:p>
      <w:pPr>
        <w:widowControl/>
        <w:adjustRightInd w:val="0"/>
        <w:spacing w:line="540" w:lineRule="exact"/>
        <w:ind w:firstLine="566" w:firstLineChars="236"/>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本公司董事会及全体董事保证本公告内容不存在任何虚假记载、误导性陈述或者重大遗漏，并对其内容的真实性、准确性和完整性承担个人及连带责任。</w:t>
      </w:r>
    </w:p>
    <w:p>
      <w:pPr>
        <w:widowControl/>
        <w:adjustRightInd w:val="0"/>
        <w:spacing w:line="540" w:lineRule="exact"/>
        <w:ind w:firstLine="566" w:firstLineChars="236"/>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202</w:t>
      </w:r>
      <w:r>
        <w:rPr>
          <w:rFonts w:hint="eastAsia" w:ascii="仿宋_GB2312" w:hAnsi="华文中宋" w:eastAsia="仿宋_GB2312" w:cs="宋体"/>
          <w:kern w:val="0"/>
          <w:sz w:val="24"/>
          <w:szCs w:val="24"/>
          <w:lang w:val="en-US" w:eastAsia="zh-CN"/>
        </w:rPr>
        <w:t>1</w:t>
      </w:r>
      <w:r>
        <w:rPr>
          <w:rFonts w:hint="eastAsia" w:ascii="仿宋_GB2312" w:hAnsi="华文中宋" w:eastAsia="仿宋_GB2312" w:cs="宋体"/>
          <w:kern w:val="0"/>
          <w:sz w:val="24"/>
          <w:szCs w:val="24"/>
        </w:rPr>
        <w:t>年，</w:t>
      </w:r>
      <w:r>
        <w:rPr>
          <w:rFonts w:hint="eastAsia" w:ascii="仿宋_GB2312" w:hAnsi="华文中宋" w:eastAsia="仿宋_GB2312" w:cs="宋体"/>
          <w:kern w:val="0"/>
          <w:sz w:val="24"/>
          <w:szCs w:val="24"/>
          <w:lang w:val="en-US" w:eastAsia="zh-CN"/>
        </w:rPr>
        <w:t>山东九佳紧固件股份有限公司（</w:t>
      </w:r>
      <w:r>
        <w:rPr>
          <w:rFonts w:hint="eastAsia" w:ascii="仿宋_GB2312" w:hAnsi="华文中宋" w:eastAsia="仿宋_GB2312" w:cs="宋体"/>
          <w:kern w:val="0"/>
          <w:sz w:val="24"/>
          <w:szCs w:val="24"/>
        </w:rPr>
        <w:t>以下简称“公司”）积极行动，责任为先，坚持深化内部管理、推进节能减排、创造优良业绩；坚持实现跨越发展、带动地方经济、创造社会财务、推动社会进步；注重安全环保，积极承担社会责任。</w:t>
      </w:r>
    </w:p>
    <w:p>
      <w:pPr>
        <w:widowControl/>
        <w:adjustRightInd w:val="0"/>
        <w:spacing w:line="540" w:lineRule="exact"/>
        <w:ind w:firstLine="569" w:firstLineChars="236"/>
        <w:jc w:val="left"/>
        <w:rPr>
          <w:rFonts w:ascii="仿宋_GB2312" w:hAnsi="华文中宋" w:eastAsia="仿宋_GB2312" w:cs="宋体"/>
          <w:kern w:val="0"/>
          <w:sz w:val="24"/>
          <w:szCs w:val="24"/>
        </w:rPr>
      </w:pPr>
      <w:r>
        <w:rPr>
          <w:rFonts w:hint="eastAsia" w:ascii="仿宋_GB2312" w:hAnsi="华文中宋" w:eastAsia="仿宋_GB2312" w:cs="宋体"/>
          <w:b/>
          <w:kern w:val="0"/>
          <w:sz w:val="24"/>
          <w:szCs w:val="24"/>
        </w:rPr>
        <w:t>一、公司基本情况</w:t>
      </w:r>
    </w:p>
    <w:p>
      <w:pPr>
        <w:widowControl/>
        <w:adjustRightInd w:val="0"/>
        <w:spacing w:line="540" w:lineRule="exact"/>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山东九佳紧固件股份有限公司于2012年10月建厂，工厂占地面积20万平方米，规划产能150000吨/年，现有产能35000吨/年。目前公司拥有员工300余人， 是国家专精特新“小巨人”企业、国家高新技术企业。</w:t>
      </w:r>
    </w:p>
    <w:p>
      <w:pPr>
        <w:widowControl/>
        <w:adjustRightInd w:val="0"/>
        <w:spacing w:line="540" w:lineRule="exact"/>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公司主营汽标件、非标件、异形件，高强度、高性能、高等级标准件，产品主要应用于汽车、轨道交通、高端装备制造等行业。</w:t>
      </w:r>
    </w:p>
    <w:p>
      <w:pPr>
        <w:widowControl/>
        <w:adjustRightInd w:val="0"/>
        <w:spacing w:line="540" w:lineRule="exact"/>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公司拥有国内外先进的生产设备，实施了数字化透明工厂DMFS系统，实现了汽车紧固件工艺设计、计划排产、规模定制、生产物流配送一体化的集成应用，是全工艺、全系列生产性企业的典范。未来三年将实现生产过程中设备运转信息、质量检测信息、生产进度信息数据全领域追踪。</w:t>
      </w:r>
    </w:p>
    <w:p>
      <w:pPr>
        <w:widowControl/>
        <w:adjustRightInd w:val="0"/>
        <w:spacing w:line="540" w:lineRule="exact"/>
        <w:ind w:firstLine="480" w:firstLineChars="200"/>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公司秉承“顾客至上、精益求精、持续改进、追求卓越”的质量方针，已于宝马、沃尔沃、北京现代、起亚、长安福特、长安、长城等乘用车，重汽、陕汽、福田、一汽、沃尔沃等商用车，康明斯、潍柴、全柴等发动机制造商，费斯托等高端装备制造企业达成战略合作。</w:t>
      </w:r>
    </w:p>
    <w:p>
      <w:pPr>
        <w:widowControl/>
        <w:adjustRightInd w:val="0"/>
        <w:spacing w:line="540" w:lineRule="exact"/>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二、公司对社会责任履行情况</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社会</w:t>
      </w:r>
      <w:r>
        <w:rPr>
          <w:rFonts w:hint="eastAsia" w:ascii="仿宋_GB2312" w:hAnsi="华文中宋" w:eastAsia="仿宋_GB2312"/>
          <w:sz w:val="24"/>
          <w:szCs w:val="24"/>
        </w:rPr>
        <w:t>责任</w:t>
      </w:r>
      <w:r>
        <w:rPr>
          <w:rFonts w:hint="eastAsia" w:ascii="仿宋_GB2312" w:hAnsi="华文中宋" w:eastAsia="仿宋_GB2312" w:cs="宋体"/>
          <w:kern w:val="0"/>
          <w:sz w:val="24"/>
          <w:szCs w:val="24"/>
        </w:rPr>
        <w:t>是社会文明进步的标志，是企业应尽的义务，公司从履行社会责任的宗旨和理念、股东和债权人权益保护、职工权益保护、供应商、客户和消费者权益保护、环境保护和可持续发展、公共关系、社会公益事业等方面做起，积极承担企业应尽的社会责任。</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1、公司履行社会责任的宗旨和理念</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作为一家快速发展的民营企业，公司坚持公平公正、诚实信用的原则，遵守社会公德、商业道德、国家法律法规，在追求经济效益、维护股东利益的同时，积极保护股东、债权人和职工的合法权益，诚信对待客户、供应商、消费者，倡导环境保护和可持续发展，为公共关系、社会公益事业、和谐社会建设做出应有贡献。</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2、股东和债权人权益保护</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w:t>
      </w:r>
      <w:r>
        <w:rPr>
          <w:rFonts w:hint="eastAsia" w:ascii="仿宋_GB2312" w:hAnsi="华文中宋" w:eastAsia="仿宋_GB2312" w:cs="宋体"/>
          <w:b/>
          <w:kern w:val="0"/>
          <w:sz w:val="24"/>
          <w:szCs w:val="24"/>
        </w:rPr>
        <w:t>重视</w:t>
      </w:r>
      <w:r>
        <w:rPr>
          <w:rFonts w:hint="eastAsia" w:ascii="仿宋_GB2312" w:hAnsi="华文中宋" w:eastAsia="仿宋_GB2312" w:cs="宋体"/>
          <w:kern w:val="0"/>
          <w:sz w:val="24"/>
          <w:szCs w:val="24"/>
        </w:rPr>
        <w:t>对股东的合理回报，采取稳健现金分红的利润分配政策。公司制定了《公司章程》，原则上公司每年以现金方式分配的利润应不低于当年实现的可分配利润的20%，积极回报公司股东。</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控股股东行为规范，严格依法行使股东的权力和义务，没有利用其控制地位损害公司，没有直接或间接干预公司的决策和生产经营活动；公司董事会和监事会及内部机构独立运作；公司具有独立完整的业务及自主经营能力。公司与关联方之间的关联交易遵循公开、公平、公正的原则，控股股东没有利用关联交易、利润分配、资产重组、对外投资等方式损害公司。</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3、职工权益保护</w:t>
      </w:r>
    </w:p>
    <w:p>
      <w:pPr>
        <w:widowControl/>
        <w:adjustRightInd w:val="0"/>
        <w:spacing w:line="540" w:lineRule="exact"/>
        <w:ind w:firstLine="482" w:firstLineChars="200"/>
        <w:jc w:val="left"/>
        <w:rPr>
          <w:rFonts w:ascii="仿宋_GB2312" w:hAnsi="华文中宋" w:eastAsia="仿宋_GB2312" w:cs="宋体"/>
          <w:kern w:val="0"/>
          <w:sz w:val="24"/>
          <w:szCs w:val="24"/>
        </w:rPr>
      </w:pPr>
      <w:r>
        <w:rPr>
          <w:rFonts w:hint="eastAsia" w:ascii="仿宋_GB2312" w:hAnsi="华文中宋" w:eastAsia="仿宋_GB2312" w:cs="宋体"/>
          <w:b/>
          <w:kern w:val="0"/>
          <w:sz w:val="24"/>
          <w:szCs w:val="24"/>
        </w:rPr>
        <w:t>公司</w:t>
      </w:r>
      <w:r>
        <w:rPr>
          <w:rFonts w:hint="eastAsia" w:ascii="仿宋_GB2312" w:hAnsi="华文中宋" w:eastAsia="仿宋_GB2312" w:cs="宋体"/>
          <w:kern w:val="0"/>
          <w:sz w:val="24"/>
          <w:szCs w:val="24"/>
        </w:rPr>
        <w:t>重视员工的权益与成长，为员工提供更多的职业发展通道，时刻关注员工职业健康，不断营造充满活力、和谐共赢的工作环境，切实保护员工生理、心理健康，让员工快乐工作、快乐生活。</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①</w:t>
      </w:r>
      <w:r>
        <w:rPr>
          <w:rFonts w:hint="eastAsia" w:ascii="仿宋_GB2312" w:hAnsi="华文中宋" w:eastAsia="仿宋_GB2312" w:cs="宋体"/>
          <w:b/>
          <w:kern w:val="0"/>
          <w:sz w:val="24"/>
          <w:szCs w:val="24"/>
        </w:rPr>
        <w:t>遵循</w:t>
      </w:r>
      <w:r>
        <w:rPr>
          <w:rFonts w:hint="eastAsia" w:ascii="仿宋_GB2312" w:hAnsi="华文中宋" w:eastAsia="仿宋_GB2312" w:cs="宋体"/>
          <w:kern w:val="0"/>
          <w:sz w:val="24"/>
          <w:szCs w:val="24"/>
        </w:rPr>
        <w:t>劳动法律法规，维护员工权益</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依照《劳动法》、《劳动合同法》、《公司法》及相关法律法规，实行全员劳动合同制，依法保障员工应享有的各种权利；落实相关社会保障制度，为员工缴纳各项法定社会保险与福利，包括基本养老保险、医疗保险、失业保险、工伤保险、生育保险、住房公积金等。</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②完善薪酬体系和激励机制</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建立了完善的薪酬管理和绩效考核体系。实行岗位绩效工资制，由岗位等级工资和绩效奖金等工资单元组成。每年根据公司生产经营实际和工效挂钩办法，合理确定年度工资增量，使员工共享企业的发展成果，有效调动了员工的工作积极性。</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③完善人才培养机制、完善培训体系</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将进一步完善人才培养机制，梳理岗位任职资格，以人员品质与能力为导向，建立面向以能力为基础的人才选拔机制，一方面注重从内部选拔人才，以挖掘现有人员潜力，完善员工职业生涯发展计划，包括职位升迁及职业能力发展两条职业发展道路，拓宽每个员工成长的空间。另一方面，引进高端技术人才，加强与国内外相关专业的知名高校、科研院所合作。</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创建学习型组织的企业文化，培养公司员工不断学习、不断创新、完善自我、发展企业的理念，增加公司的凝聚力、创造力。加大公司的培训投入，每年年初公司都会制定年度的培训计划，做到有计划、有目标、有层次、分重点地组织各种类型员工培训，优化员工知识结构、培养和提高全体员工的工作能力、技能水平、品质意识及企业文化意识，最大限度的发挥每位员工的潜能</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4、供应商、客户和消费者权益保护</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在</w:t>
      </w:r>
      <w:r>
        <w:rPr>
          <w:rFonts w:hint="eastAsia" w:ascii="仿宋_GB2312" w:hAnsi="华文中宋" w:eastAsia="仿宋_GB2312" w:cs="宋体"/>
          <w:b/>
          <w:kern w:val="0"/>
          <w:sz w:val="24"/>
          <w:szCs w:val="24"/>
        </w:rPr>
        <w:t>全球</w:t>
      </w:r>
      <w:r>
        <w:rPr>
          <w:rFonts w:hint="eastAsia" w:ascii="仿宋_GB2312" w:hAnsi="华文中宋" w:eastAsia="仿宋_GB2312" w:cs="宋体"/>
          <w:kern w:val="0"/>
          <w:sz w:val="24"/>
          <w:szCs w:val="24"/>
        </w:rPr>
        <w:t>经济一体化发展的今天，企业间的竞争已经转变为组织群之间的竞争，产品已不是由一家企业来单独完成的，而是有产业链上的各个组织成员共同协作完成的。公司深刻的认识到与产业链上的各个组织成员实行多赢是打造企业核心竞争力的关键。</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①</w:t>
      </w:r>
      <w:r>
        <w:rPr>
          <w:rFonts w:hint="eastAsia" w:ascii="仿宋_GB2312" w:hAnsi="华文中宋" w:eastAsia="仿宋_GB2312" w:cs="宋体"/>
          <w:b/>
          <w:kern w:val="0"/>
          <w:sz w:val="24"/>
          <w:szCs w:val="24"/>
        </w:rPr>
        <w:t>供应</w:t>
      </w:r>
      <w:r>
        <w:rPr>
          <w:rFonts w:hint="eastAsia" w:ascii="仿宋_GB2312" w:hAnsi="华文中宋" w:eastAsia="仿宋_GB2312" w:cs="宋体"/>
          <w:kern w:val="0"/>
          <w:sz w:val="24"/>
          <w:szCs w:val="24"/>
        </w:rPr>
        <w:t>商关系维护</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尊重并维护供应商的合法权益，不断完善采购流程，建立采购制度及内控程序，以制度保证供应商的基本权益，公司通过不定期对各供应商进行走访沟通并结合长期合作情况，建立了合格供应商名录，通过不断完善供应商管理手段，建设全面高效的供应商协作网络，定期召开供应商沟通会议，提高质量、控制成本、缩短生产周期、提升竞争力，实现双方互利共赢。</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②客户关系维护</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坚持以客户为中心，把维持良好的客户关系当作公司的宝贵资源，公司一直致力于为客户提供周到的服务，实现公司的优秀服务价值。公司严把质量关，按期交货以质量为本，用品质创造价值；以创新求发展，提供一流品质的产品。公司坚持实施与客户共同成长的营销战略，坚持双赢互惠的营销理念，坚持诚实守信的经营作风，以优秀的产品和服务为客户创造价值，建立并完善与客户的沟通机制，及时反馈客户诉求，不断改善客户的满意度，着力提高客户的忠诚度，维护客户利益。</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③消费者权益保护</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企业的社会责任，不仅是保护消费者权益的问题，同时也是提升企业竞争力的战略举措。随着社会的发展，企业竞争的法宝不再是资金、技术和人才，是消费者对企业社会品牌的认知程度、是企业对消费者的诚信。对消费者的社会责任是增强企业抗风险能力的金钥匙。</w:t>
      </w:r>
    </w:p>
    <w:p>
      <w:pPr>
        <w:widowControl/>
        <w:adjustRightInd w:val="0"/>
        <w:spacing w:line="540" w:lineRule="exact"/>
        <w:ind w:firstLine="482" w:firstLineChars="200"/>
        <w:jc w:val="left"/>
        <w:rPr>
          <w:rFonts w:ascii="仿宋_GB2312" w:hAnsi="华文中宋" w:eastAsia="仿宋_GB2312" w:cs="宋体"/>
          <w:kern w:val="0"/>
          <w:sz w:val="24"/>
          <w:szCs w:val="24"/>
        </w:rPr>
      </w:pPr>
      <w:r>
        <w:rPr>
          <w:rFonts w:hint="eastAsia" w:ascii="仿宋_GB2312" w:hAnsi="华文中宋" w:eastAsia="仿宋_GB2312" w:cs="宋体"/>
          <w:b/>
          <w:kern w:val="0"/>
          <w:sz w:val="24"/>
          <w:szCs w:val="24"/>
        </w:rPr>
        <w:t>5、</w:t>
      </w:r>
      <w:r>
        <w:rPr>
          <w:rFonts w:hint="eastAsia" w:ascii="仿宋_GB2312" w:hAnsi="华文中宋" w:eastAsia="仿宋_GB2312" w:cs="宋体"/>
          <w:kern w:val="0"/>
          <w:sz w:val="24"/>
          <w:szCs w:val="24"/>
        </w:rPr>
        <w:t>环境保护和可持续发展</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①烟气超低排放</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为响应国家治理大气污染号召，切实改善空气环境质量、保障人民群众身体健康承担企业必要的社会责任。公司于2020年，计划对公司</w:t>
      </w:r>
      <w:r>
        <w:rPr>
          <w:rFonts w:hint="eastAsia" w:ascii="仿宋_GB2312" w:hAnsi="华文中宋" w:eastAsia="仿宋_GB2312" w:cs="宋体"/>
          <w:kern w:val="0"/>
          <w:sz w:val="24"/>
          <w:szCs w:val="24"/>
          <w:lang w:val="en-US" w:eastAsia="zh-CN"/>
        </w:rPr>
        <w:t>冷成型车间、热处理车间</w:t>
      </w:r>
      <w:r>
        <w:rPr>
          <w:rFonts w:hint="eastAsia" w:ascii="仿宋_GB2312" w:hAnsi="华文中宋" w:eastAsia="仿宋_GB2312" w:cs="宋体"/>
          <w:kern w:val="0"/>
          <w:sz w:val="24"/>
          <w:szCs w:val="24"/>
        </w:rPr>
        <w:t>超低排放技术改造治理，利用脱硫、脱硝及除尘设备进行大气污染物综合脱除，并同步安装污染物检测设备，实现实时在线检测。该烟气超低排放项目，可以降低排放改善环境，烟气治理走在同行的前列，是公司应尽的环境保护责任，项目计划总投入300余万元。</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②坚持技术创新</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公司认识到技术创新的重要意义，为了提升企业核心竞争力，始终坚持走技术创新之路，有效实施科技创新，使公司获得持续竞争的优势。公司目前申请专利共计7项，已累计获得</w:t>
      </w:r>
      <w:r>
        <w:rPr>
          <w:rFonts w:hint="eastAsia" w:ascii="仿宋_GB2312" w:hAnsi="华文中宋" w:eastAsia="仿宋_GB2312" w:cs="宋体"/>
          <w:kern w:val="0"/>
          <w:sz w:val="24"/>
          <w:szCs w:val="24"/>
          <w:lang w:val="en-US" w:eastAsia="zh-CN"/>
        </w:rPr>
        <w:t>37</w:t>
      </w:r>
      <w:r>
        <w:rPr>
          <w:rFonts w:hint="eastAsia" w:ascii="仿宋_GB2312" w:hAnsi="华文中宋" w:eastAsia="仿宋_GB2312" w:cs="宋体"/>
          <w:kern w:val="0"/>
          <w:sz w:val="24"/>
          <w:szCs w:val="24"/>
        </w:rPr>
        <w:t>项专利授权，其中获得授权发明专利</w:t>
      </w:r>
      <w:r>
        <w:rPr>
          <w:rFonts w:hint="eastAsia" w:ascii="仿宋_GB2312" w:hAnsi="华文中宋" w:eastAsia="仿宋_GB2312" w:cs="宋体"/>
          <w:kern w:val="0"/>
          <w:sz w:val="24"/>
          <w:szCs w:val="24"/>
          <w:lang w:val="en-US" w:eastAsia="zh-CN"/>
        </w:rPr>
        <w:t>5</w:t>
      </w:r>
      <w:r>
        <w:rPr>
          <w:rFonts w:hint="eastAsia" w:ascii="仿宋_GB2312" w:hAnsi="华文中宋" w:eastAsia="仿宋_GB2312" w:cs="宋体"/>
          <w:kern w:val="0"/>
          <w:sz w:val="24"/>
          <w:szCs w:val="24"/>
        </w:rPr>
        <w:t>项，覆盖公司相关系列产品。</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③倡导可持续发展战略</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高度重视环境保护工作，一直坚持企业成长与环境保护的协调发展，积极推行清洁生产、循环经济，规范运行污染治理设施，多年来不断加大投入进行污染防治，有力地确保了外排污染物稳定达标排放、排放总量均在控制指标范围之内。公司认真贯彻国家环保法律法规、政策、建设项目符合现行产业政策，严格执行环境影响评价和环保制度，环保设施及自动监控设备正常运行，外排污染物达标排放，固废处置符合国家环保规定，突发环境事件应急预案按要求编制、修订、评估、备案，并对应急预案进行演练，认真落实风险评估，投保环境污染责任险。公司在2020年度编制了《生产安全事故综合应急预案》、《火灾、爆炸、泄漏、中毒事故专项应急预案》《车间现场处置方案》、《重大危险源事故专项应急预案》。</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202</w:t>
      </w:r>
      <w:r>
        <w:rPr>
          <w:rFonts w:hint="eastAsia" w:ascii="仿宋_GB2312" w:hAnsi="华文中宋" w:eastAsia="仿宋_GB2312" w:cs="宋体"/>
          <w:kern w:val="0"/>
          <w:sz w:val="24"/>
          <w:szCs w:val="24"/>
          <w:lang w:val="en-US" w:eastAsia="zh-CN"/>
        </w:rPr>
        <w:t>1</w:t>
      </w:r>
      <w:r>
        <w:rPr>
          <w:rFonts w:hint="eastAsia" w:ascii="仿宋_GB2312" w:hAnsi="华文中宋" w:eastAsia="仿宋_GB2312" w:cs="宋体"/>
          <w:kern w:val="0"/>
          <w:sz w:val="24"/>
          <w:szCs w:val="24"/>
        </w:rPr>
        <w:t>年，全年公司共计投入资金500万元用于安全环保工作。</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6、公共关系、社会公益事业等方面情况</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在全力建设具有竞争力的抗氧剂生产企业的进程中，始终把社会建设和公益事业作为履行社会责任的重要内容。公司通过自身发展，积极带动当地经济和社会发展，最大限度的回报社会，为构建和谐社会做出应有的贡献。公司依法及时足额交纳税金，为国家和地方经济做出积极贡献。</w:t>
      </w:r>
    </w:p>
    <w:p>
      <w:pPr>
        <w:widowControl/>
        <w:adjustRightInd w:val="0"/>
        <w:spacing w:line="540" w:lineRule="exact"/>
        <w:ind w:firstLine="482" w:firstLineChars="200"/>
        <w:jc w:val="left"/>
        <w:rPr>
          <w:rFonts w:ascii="仿宋_GB2312" w:hAnsi="华文中宋" w:eastAsia="仿宋_GB2312" w:cs="宋体"/>
          <w:b/>
          <w:kern w:val="0"/>
          <w:sz w:val="24"/>
          <w:szCs w:val="24"/>
        </w:rPr>
      </w:pPr>
      <w:r>
        <w:rPr>
          <w:rFonts w:hint="eastAsia" w:ascii="仿宋_GB2312" w:hAnsi="华文中宋" w:eastAsia="仿宋_GB2312" w:cs="宋体"/>
          <w:b/>
          <w:kern w:val="0"/>
          <w:sz w:val="24"/>
          <w:szCs w:val="24"/>
        </w:rPr>
        <w:t>三、公司社会责任工作展望</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公司推进资源全面节约和循环利用，实施降低能耗、物耗，实现生产系统和生活系统循环链接。</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作为一名社会成员，公司在自我发展壮大的同时，为促进社会可持续发展、促进社会环境及生态可持续发展和促进经济可持续发展承担了相应的社会责任，随着公司规模的不断扩展，经济实力的不断增强，公司将会承担更多的社会责任。</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202</w:t>
      </w:r>
      <w:r>
        <w:rPr>
          <w:rFonts w:hint="eastAsia" w:ascii="仿宋_GB2312" w:hAnsi="华文中宋" w:eastAsia="仿宋_GB2312" w:cs="宋体"/>
          <w:kern w:val="0"/>
          <w:sz w:val="24"/>
          <w:szCs w:val="24"/>
          <w:lang w:val="en-US" w:eastAsia="zh-CN"/>
        </w:rPr>
        <w:t>2</w:t>
      </w:r>
      <w:r>
        <w:rPr>
          <w:rFonts w:hint="eastAsia" w:ascii="仿宋_GB2312" w:hAnsi="华文中宋" w:eastAsia="仿宋_GB2312" w:cs="宋体"/>
          <w:kern w:val="0"/>
          <w:sz w:val="24"/>
          <w:szCs w:val="24"/>
        </w:rPr>
        <w:t>年，公司将再接再厉，继续全面开展社会责任履行工作。</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1、完善公司治理、建立长效机制</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以持续完善公司治理制度为基础，以推动实施内部控制为重点，自觉主动规范运作，积极提升治理水平，保障公司、股东、员工利益，实现公司可持续发展。</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2、贯彻安全生产、促进和谐稳定</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继续加强化工安全生产管理，强化安全生产责任制，加强安全知识培训，严格设备安全检查，完善安全长效机制，实现安全和谐发展。</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3、全力推进节能减排、坚持技术创新</w:t>
      </w:r>
    </w:p>
    <w:p>
      <w:pPr>
        <w:widowControl/>
        <w:adjustRightInd w:val="0"/>
        <w:spacing w:line="540" w:lineRule="exact"/>
        <w:ind w:firstLine="480" w:firstLineChars="2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rPr>
        <w:t>公司全力推进节能减排，依靠科技进步，技术革新、设备改造不断提升公司的综合能力，增加新的效益增长点。继续深化绿色、清洁生产的理念，坚持管理创新、技术创新，让更多的科技成果转化为生产力，弘扬企业文化，积极履行企业社会责任，积极进取，开拓创新，以良好的业绩回报社会、回报员工，以实际行动为弘扬生态文明、建设环境友好型社会做出新的更大的贡献！</w:t>
      </w:r>
    </w:p>
    <w:p>
      <w:pPr>
        <w:widowControl/>
        <w:adjustRightInd w:val="0"/>
        <w:spacing w:line="540" w:lineRule="exact"/>
        <w:ind w:firstLine="5040" w:firstLineChars="2100"/>
        <w:jc w:val="left"/>
        <w:rPr>
          <w:rFonts w:hint="eastAsia" w:ascii="仿宋_GB2312" w:hAnsi="华文中宋" w:eastAsia="仿宋_GB2312" w:cs="宋体"/>
          <w:kern w:val="0"/>
          <w:sz w:val="24"/>
          <w:szCs w:val="24"/>
          <w:lang w:val="en-US" w:eastAsia="zh-CN"/>
        </w:rPr>
      </w:pPr>
    </w:p>
    <w:p>
      <w:pPr>
        <w:widowControl/>
        <w:adjustRightInd w:val="0"/>
        <w:spacing w:line="540" w:lineRule="exact"/>
        <w:ind w:firstLine="5040" w:firstLineChars="2100"/>
        <w:jc w:val="left"/>
        <w:rPr>
          <w:rFonts w:ascii="仿宋_GB2312" w:hAnsi="华文中宋" w:eastAsia="仿宋_GB2312" w:cs="宋体"/>
          <w:kern w:val="0"/>
          <w:sz w:val="24"/>
          <w:szCs w:val="24"/>
        </w:rPr>
      </w:pPr>
      <w:r>
        <w:rPr>
          <w:rFonts w:hint="eastAsia" w:ascii="仿宋_GB2312" w:hAnsi="华文中宋" w:eastAsia="仿宋_GB2312" w:cs="宋体"/>
          <w:kern w:val="0"/>
          <w:sz w:val="24"/>
          <w:szCs w:val="24"/>
          <w:lang w:val="en-US" w:eastAsia="zh-CN"/>
        </w:rPr>
        <w:t>山东九佳紧固件股份有限</w:t>
      </w:r>
      <w:r>
        <w:rPr>
          <w:rFonts w:hint="eastAsia" w:ascii="仿宋_GB2312" w:hAnsi="华文中宋" w:eastAsia="仿宋_GB2312" w:cs="宋体"/>
          <w:kern w:val="0"/>
          <w:sz w:val="24"/>
          <w:szCs w:val="24"/>
        </w:rPr>
        <w:t>公司</w:t>
      </w:r>
    </w:p>
    <w:p>
      <w:pPr>
        <w:widowControl/>
        <w:adjustRightInd w:val="0"/>
        <w:spacing w:line="540" w:lineRule="exact"/>
        <w:ind w:left="6555" w:leftChars="2150" w:hanging="2040" w:hangingChars="850"/>
        <w:jc w:val="left"/>
        <w:rPr>
          <w:rFonts w:ascii="仿宋_GB2312" w:hAnsi="华文中宋" w:eastAsia="仿宋_GB2312" w:cs="宋体"/>
          <w:kern w:val="0"/>
          <w:sz w:val="24"/>
          <w:szCs w:val="24"/>
        </w:rPr>
      </w:pPr>
    </w:p>
    <w:p>
      <w:pPr>
        <w:widowControl/>
        <w:adjustRightInd w:val="0"/>
        <w:spacing w:line="540" w:lineRule="exact"/>
        <w:ind w:left="6555" w:leftChars="2150" w:hanging="2040" w:hangingChars="850"/>
        <w:jc w:val="left"/>
        <w:rPr>
          <w:rFonts w:ascii="仿宋_GB2312" w:eastAsia="仿宋_GB2312"/>
          <w:sz w:val="24"/>
          <w:szCs w:val="24"/>
        </w:rPr>
      </w:pPr>
      <w:r>
        <w:rPr>
          <w:rFonts w:hint="eastAsia" w:ascii="仿宋_GB2312" w:hAnsi="华文中宋" w:eastAsia="仿宋_GB2312" w:cs="宋体"/>
          <w:kern w:val="0"/>
          <w:sz w:val="24"/>
          <w:szCs w:val="24"/>
        </w:rPr>
        <w:t xml:space="preserve">      202</w:t>
      </w:r>
      <w:r>
        <w:rPr>
          <w:rFonts w:hint="eastAsia" w:ascii="仿宋_GB2312" w:hAnsi="华文中宋" w:eastAsia="仿宋_GB2312" w:cs="宋体"/>
          <w:kern w:val="0"/>
          <w:sz w:val="24"/>
          <w:szCs w:val="24"/>
          <w:lang w:val="en-US" w:eastAsia="zh-CN"/>
        </w:rPr>
        <w:t>2</w:t>
      </w:r>
      <w:bookmarkStart w:id="0" w:name="_GoBack"/>
      <w:bookmarkEnd w:id="0"/>
      <w:r>
        <w:rPr>
          <w:rFonts w:hint="eastAsia" w:ascii="仿宋_GB2312" w:hAnsi="华文中宋" w:eastAsia="仿宋_GB2312" w:cs="宋体"/>
          <w:kern w:val="0"/>
          <w:sz w:val="24"/>
          <w:szCs w:val="24"/>
        </w:rPr>
        <w:t>年2月28日</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hhNDA5YjMxNzQzOTdmYWM1NzRmMGUwOWYxMjhhOTMifQ=="/>
  </w:docVars>
  <w:rsids>
    <w:rsidRoot w:val="000D725D"/>
    <w:rsid w:val="000275B4"/>
    <w:rsid w:val="00065A21"/>
    <w:rsid w:val="000804FC"/>
    <w:rsid w:val="00084BFA"/>
    <w:rsid w:val="000D725D"/>
    <w:rsid w:val="00154BA7"/>
    <w:rsid w:val="001C6B4D"/>
    <w:rsid w:val="001E4335"/>
    <w:rsid w:val="002200DD"/>
    <w:rsid w:val="002262C8"/>
    <w:rsid w:val="002307F2"/>
    <w:rsid w:val="00254EEC"/>
    <w:rsid w:val="002617B6"/>
    <w:rsid w:val="002716A7"/>
    <w:rsid w:val="00272E47"/>
    <w:rsid w:val="002944D3"/>
    <w:rsid w:val="002955D7"/>
    <w:rsid w:val="002B43D9"/>
    <w:rsid w:val="002C705A"/>
    <w:rsid w:val="002E2B9B"/>
    <w:rsid w:val="002F06AE"/>
    <w:rsid w:val="00315531"/>
    <w:rsid w:val="00344670"/>
    <w:rsid w:val="00385C4E"/>
    <w:rsid w:val="003A43DC"/>
    <w:rsid w:val="003B3733"/>
    <w:rsid w:val="003D6092"/>
    <w:rsid w:val="00451990"/>
    <w:rsid w:val="004724FE"/>
    <w:rsid w:val="00495BA5"/>
    <w:rsid w:val="005009FC"/>
    <w:rsid w:val="00503A92"/>
    <w:rsid w:val="005069E1"/>
    <w:rsid w:val="0054154C"/>
    <w:rsid w:val="00561138"/>
    <w:rsid w:val="00573A78"/>
    <w:rsid w:val="005B3AAA"/>
    <w:rsid w:val="005F70EC"/>
    <w:rsid w:val="00644C45"/>
    <w:rsid w:val="0065489B"/>
    <w:rsid w:val="00655D84"/>
    <w:rsid w:val="00692A55"/>
    <w:rsid w:val="006C2006"/>
    <w:rsid w:val="006C7428"/>
    <w:rsid w:val="006D0EC8"/>
    <w:rsid w:val="006E5524"/>
    <w:rsid w:val="006F5D23"/>
    <w:rsid w:val="00703BCC"/>
    <w:rsid w:val="007102BA"/>
    <w:rsid w:val="007342C9"/>
    <w:rsid w:val="00736B38"/>
    <w:rsid w:val="007578BA"/>
    <w:rsid w:val="007961AE"/>
    <w:rsid w:val="007A349C"/>
    <w:rsid w:val="00812AF0"/>
    <w:rsid w:val="008347EA"/>
    <w:rsid w:val="0083589D"/>
    <w:rsid w:val="00874FDC"/>
    <w:rsid w:val="008B4821"/>
    <w:rsid w:val="008C6215"/>
    <w:rsid w:val="008D20A9"/>
    <w:rsid w:val="0091590E"/>
    <w:rsid w:val="00931434"/>
    <w:rsid w:val="00932FDB"/>
    <w:rsid w:val="009569EB"/>
    <w:rsid w:val="009653AD"/>
    <w:rsid w:val="00974F13"/>
    <w:rsid w:val="009B66E2"/>
    <w:rsid w:val="009E47A8"/>
    <w:rsid w:val="00A01C0F"/>
    <w:rsid w:val="00A075F5"/>
    <w:rsid w:val="00A86C7A"/>
    <w:rsid w:val="00A915D0"/>
    <w:rsid w:val="00AB3541"/>
    <w:rsid w:val="00AD57F6"/>
    <w:rsid w:val="00AF4A3D"/>
    <w:rsid w:val="00B45D9B"/>
    <w:rsid w:val="00B82978"/>
    <w:rsid w:val="00B92FBE"/>
    <w:rsid w:val="00BB3A8F"/>
    <w:rsid w:val="00BC3C7F"/>
    <w:rsid w:val="00BF1C36"/>
    <w:rsid w:val="00C20289"/>
    <w:rsid w:val="00C41C37"/>
    <w:rsid w:val="00C472C2"/>
    <w:rsid w:val="00C64530"/>
    <w:rsid w:val="00C80DAF"/>
    <w:rsid w:val="00C8493C"/>
    <w:rsid w:val="00C94471"/>
    <w:rsid w:val="00CA7A33"/>
    <w:rsid w:val="00CC2E00"/>
    <w:rsid w:val="00CC38A1"/>
    <w:rsid w:val="00D3737F"/>
    <w:rsid w:val="00D6376A"/>
    <w:rsid w:val="00D80675"/>
    <w:rsid w:val="00D92EDC"/>
    <w:rsid w:val="00DD0BFC"/>
    <w:rsid w:val="00DF603E"/>
    <w:rsid w:val="00E34181"/>
    <w:rsid w:val="00E62B44"/>
    <w:rsid w:val="00E72F4D"/>
    <w:rsid w:val="00E760A1"/>
    <w:rsid w:val="00E901CB"/>
    <w:rsid w:val="00E9655F"/>
    <w:rsid w:val="00EA6543"/>
    <w:rsid w:val="00EC778C"/>
    <w:rsid w:val="00EE29BD"/>
    <w:rsid w:val="00F00C65"/>
    <w:rsid w:val="00F031D4"/>
    <w:rsid w:val="00F05117"/>
    <w:rsid w:val="00F51CFF"/>
    <w:rsid w:val="00F535E3"/>
    <w:rsid w:val="00F57521"/>
    <w:rsid w:val="00F61367"/>
    <w:rsid w:val="00F7504F"/>
    <w:rsid w:val="00FF0103"/>
    <w:rsid w:val="00FF1E64"/>
    <w:rsid w:val="00FF569B"/>
    <w:rsid w:val="30CC400F"/>
    <w:rsid w:val="4A503792"/>
    <w:rsid w:val="6AE14C41"/>
    <w:rsid w:val="710876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9"/>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semiHidden/>
    <w:qFormat/>
    <w:uiPriority w:val="99"/>
    <w:rPr>
      <w:rFonts w:cs="Times New Roman"/>
      <w:color w:val="0000FF"/>
      <w:u w:val="single"/>
    </w:rPr>
  </w:style>
  <w:style w:type="character" w:customStyle="1" w:styleId="9">
    <w:name w:val="标题 3字符"/>
    <w:link w:val="2"/>
    <w:qFormat/>
    <w:locked/>
    <w:uiPriority w:val="99"/>
    <w:rPr>
      <w:rFonts w:ascii="宋体" w:hAnsi="宋体" w:eastAsia="宋体" w:cs="宋体"/>
      <w:b/>
      <w:bCs/>
      <w:kern w:val="0"/>
      <w:sz w:val="27"/>
      <w:szCs w:val="27"/>
    </w:rPr>
  </w:style>
  <w:style w:type="character" w:customStyle="1" w:styleId="10">
    <w:name w:val="页眉字符"/>
    <w:link w:val="5"/>
    <w:semiHidden/>
    <w:qFormat/>
    <w:locked/>
    <w:uiPriority w:val="99"/>
    <w:rPr>
      <w:rFonts w:cs="Times New Roman"/>
      <w:sz w:val="18"/>
      <w:szCs w:val="18"/>
    </w:rPr>
  </w:style>
  <w:style w:type="character" w:customStyle="1" w:styleId="11">
    <w:name w:val="页脚字符"/>
    <w:link w:val="4"/>
    <w:semiHidden/>
    <w:qFormat/>
    <w:locked/>
    <w:uiPriority w:val="99"/>
    <w:rPr>
      <w:rFonts w:cs="Times New Roman"/>
      <w:sz w:val="18"/>
      <w:szCs w:val="18"/>
    </w:rPr>
  </w:style>
  <w:style w:type="paragraph" w:customStyle="1" w:styleId="12">
    <w:name w:val="tc"/>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3">
    <w:name w:val="down"/>
    <w:qFormat/>
    <w:uiPriority w:val="99"/>
    <w:rPr>
      <w:rFonts w:cs="Times New Roman"/>
    </w:rPr>
  </w:style>
  <w:style w:type="paragraph" w:customStyle="1" w:styleId="14">
    <w:name w:val="p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
    <w:name w:val="_Style 5"/>
    <w:basedOn w:val="1"/>
    <w:qFormat/>
    <w:uiPriority w:val="99"/>
    <w:rPr>
      <w:rFonts w:ascii="宋体" w:hAnsi="宋体"/>
      <w:sz w:val="28"/>
      <w:szCs w:val="24"/>
    </w:rPr>
  </w:style>
  <w:style w:type="character" w:customStyle="1" w:styleId="16">
    <w:name w:val="批注框文本字符"/>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3812</Words>
  <Characters>3861</Characters>
  <Lines>27</Lines>
  <Paragraphs>7</Paragraphs>
  <TotalTime>21</TotalTime>
  <ScaleCrop>false</ScaleCrop>
  <LinksUpToDate>false</LinksUpToDate>
  <CharactersWithSpaces>3869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2020-03-04T02:42:00Z</dcterms:created>
  <dc:creator>lenovo</dc:creator>
  <cp:lastModifiedBy>赵勇</cp:lastModifiedBy>
  <dcterms:modified xsi:type="dcterms:W3CDTF">2022-05-27T06:24:59Z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23276074D1E542E586B45E4B94BFD436</vt:lpwstr>
  </property>
</Properties>
</file>